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40" w:rsidRDefault="00A755D7">
      <w:pPr>
        <w:spacing w:line="700" w:lineRule="exact"/>
        <w:jc w:val="center"/>
        <w:rPr>
          <w:rFonts w:ascii="黑体" w:eastAsia="黑体" w:hAnsi="黑体" w:hint="eastAsia"/>
          <w:sz w:val="36"/>
          <w:szCs w:val="36"/>
        </w:rPr>
      </w:pPr>
      <w:r w:rsidRPr="00B66C22">
        <w:rPr>
          <w:rFonts w:ascii="黑体" w:eastAsia="黑体" w:hAnsi="黑体" w:hint="eastAsia"/>
          <w:sz w:val="36"/>
          <w:szCs w:val="36"/>
        </w:rPr>
        <w:t>荆州市外事侨务局</w:t>
      </w:r>
    </w:p>
    <w:p w:rsidR="00A85F8E" w:rsidRDefault="00A755D7" w:rsidP="000A4340">
      <w:pPr>
        <w:spacing w:line="700" w:lineRule="exact"/>
        <w:jc w:val="center"/>
        <w:rPr>
          <w:rFonts w:ascii="黑体" w:eastAsia="黑体" w:hAnsi="黑体" w:hint="eastAsia"/>
          <w:sz w:val="36"/>
          <w:szCs w:val="36"/>
        </w:rPr>
      </w:pPr>
      <w:r w:rsidRPr="00B66C22">
        <w:rPr>
          <w:rFonts w:ascii="黑体" w:eastAsia="黑体" w:hAnsi="黑体" w:hint="eastAsia"/>
          <w:sz w:val="36"/>
          <w:szCs w:val="36"/>
        </w:rPr>
        <w:t>2019年部门预算公开说明</w:t>
      </w:r>
    </w:p>
    <w:p w:rsidR="000A4340" w:rsidRPr="00B66C22" w:rsidRDefault="000A4340" w:rsidP="000A4340">
      <w:pPr>
        <w:spacing w:line="700" w:lineRule="exact"/>
        <w:jc w:val="center"/>
        <w:rPr>
          <w:rFonts w:ascii="黑体" w:eastAsia="黑体" w:hAnsi="黑体"/>
          <w:sz w:val="36"/>
          <w:szCs w:val="36"/>
        </w:rPr>
      </w:pPr>
    </w:p>
    <w:p w:rsidR="00A85F8E" w:rsidRDefault="00A755D7">
      <w:pPr>
        <w:ind w:firstLineChars="200" w:firstLine="640"/>
        <w:rPr>
          <w:rFonts w:ascii="黑体" w:eastAsia="黑体" w:hAnsi="黑体" w:cs="黑体"/>
          <w:sz w:val="32"/>
          <w:szCs w:val="32"/>
        </w:rPr>
      </w:pPr>
      <w:r>
        <w:rPr>
          <w:rFonts w:ascii="黑体" w:eastAsia="黑体" w:hAnsi="黑体" w:cs="黑体" w:hint="eastAsia"/>
          <w:sz w:val="32"/>
          <w:szCs w:val="32"/>
        </w:rPr>
        <w:t>一、部门概况</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（一）部门职责</w:t>
      </w:r>
    </w:p>
    <w:p w:rsidR="00A85F8E" w:rsidRDefault="00A755D7">
      <w:pPr>
        <w:widowControl/>
        <w:shd w:val="clear" w:color="auto" w:fill="FFFFFF"/>
        <w:spacing w:line="600" w:lineRule="atLeast"/>
        <w:ind w:firstLine="645"/>
        <w:jc w:val="left"/>
        <w:rPr>
          <w:rFonts w:ascii="仿宋" w:eastAsia="仿宋" w:hAnsi="仿宋"/>
          <w:sz w:val="32"/>
          <w:szCs w:val="32"/>
        </w:rPr>
      </w:pPr>
      <w:r>
        <w:rPr>
          <w:rFonts w:ascii="仿宋" w:eastAsia="仿宋" w:hAnsi="仿宋"/>
          <w:sz w:val="32"/>
          <w:szCs w:val="32"/>
        </w:rPr>
        <w:t>主要职能：贯彻执行中央的外事、侨务、引智工作方针政策、法律法规及省委、省政府、市委、市政府关于外事、侨务、引智工作的旨示和决定；审核市直各部门、单位报请市委和市政府审批的外事、侨务、和引智文件；负责本市因公临时出国（境）人员和敫请外国人员公务来访的审批、审核、报批事宜；负责接待来本市访问的国宾、党宾和其他重要外宾；负责引进国外智力工作；负责办理本市与外国缔结友好城市的报批手续；负责开展华侨、华人、港澳同胞及其社团的友好联谊工作；负责依法保护归侨、侨眷的合法权益等。</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（二）机构设置</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1.预算单位构成</w:t>
      </w:r>
    </w:p>
    <w:p w:rsidR="00A85F8E" w:rsidRDefault="00A755D7">
      <w:pPr>
        <w:widowControl/>
        <w:shd w:val="clear" w:color="auto" w:fill="FFFFFF"/>
        <w:spacing w:line="600" w:lineRule="atLeast"/>
        <w:ind w:firstLine="645"/>
        <w:jc w:val="left"/>
        <w:rPr>
          <w:rFonts w:ascii="仿宋" w:eastAsia="仿宋" w:hAnsi="仿宋" w:cs="Tahoma"/>
          <w:color w:val="333333"/>
          <w:kern w:val="0"/>
          <w:szCs w:val="21"/>
        </w:rPr>
      </w:pPr>
      <w:r>
        <w:rPr>
          <w:rFonts w:ascii="仿宋" w:eastAsia="仿宋" w:hAnsi="仿宋" w:cs="Tahoma"/>
          <w:color w:val="333333"/>
          <w:kern w:val="0"/>
          <w:sz w:val="32"/>
          <w:szCs w:val="32"/>
        </w:rPr>
        <w:t>局机关行政编制12名,其中：局长1名，副局长2名；正科级领导职数6名；另荆州市人民对外友好协会秘书处编制6名,其中秘书长1名，副秘书长1名，科级领导职数2名。</w:t>
      </w:r>
    </w:p>
    <w:p w:rsidR="00A85F8E" w:rsidRDefault="00A755D7">
      <w:pPr>
        <w:widowControl/>
        <w:shd w:val="clear" w:color="auto" w:fill="FFFFFF"/>
        <w:spacing w:line="600" w:lineRule="atLeast"/>
        <w:ind w:firstLine="645"/>
        <w:jc w:val="left"/>
        <w:rPr>
          <w:rFonts w:ascii="仿宋" w:eastAsia="仿宋" w:hAnsi="仿宋" w:cs="Tahoma"/>
          <w:color w:val="333333"/>
          <w:kern w:val="0"/>
          <w:szCs w:val="21"/>
        </w:rPr>
      </w:pPr>
      <w:r>
        <w:rPr>
          <w:rFonts w:ascii="仿宋" w:eastAsia="仿宋" w:hAnsi="仿宋" w:cs="Tahoma"/>
          <w:color w:val="333333"/>
          <w:kern w:val="0"/>
          <w:sz w:val="32"/>
          <w:szCs w:val="32"/>
        </w:rPr>
        <w:lastRenderedPageBreak/>
        <w:t>目前，市外侨局机关在职在编1</w:t>
      </w:r>
      <w:r>
        <w:rPr>
          <w:rFonts w:ascii="仿宋" w:eastAsia="仿宋" w:hAnsi="仿宋" w:cs="Tahoma" w:hint="eastAsia"/>
          <w:color w:val="333333"/>
          <w:kern w:val="0"/>
          <w:sz w:val="32"/>
          <w:szCs w:val="32"/>
        </w:rPr>
        <w:t>1</w:t>
      </w:r>
      <w:r>
        <w:rPr>
          <w:rFonts w:ascii="仿宋" w:eastAsia="仿宋" w:hAnsi="仿宋" w:cs="Tahoma"/>
          <w:color w:val="333333"/>
          <w:kern w:val="0"/>
          <w:sz w:val="32"/>
          <w:szCs w:val="32"/>
        </w:rPr>
        <w:t>人，其中：党组书记、局长1名，</w:t>
      </w:r>
      <w:r>
        <w:rPr>
          <w:rFonts w:ascii="仿宋" w:eastAsia="仿宋" w:hAnsi="仿宋" w:cs="Tahoma" w:hint="eastAsia"/>
          <w:color w:val="333333"/>
          <w:kern w:val="0"/>
          <w:sz w:val="32"/>
          <w:szCs w:val="32"/>
        </w:rPr>
        <w:t>副局长1名，</w:t>
      </w:r>
      <w:r>
        <w:rPr>
          <w:rFonts w:ascii="仿宋" w:eastAsia="仿宋" w:hAnsi="仿宋" w:cs="Tahoma"/>
          <w:color w:val="333333"/>
          <w:kern w:val="0"/>
          <w:sz w:val="32"/>
          <w:szCs w:val="32"/>
        </w:rPr>
        <w:t>党组成员</w:t>
      </w:r>
      <w:r>
        <w:rPr>
          <w:rFonts w:ascii="仿宋" w:eastAsia="仿宋" w:hAnsi="仿宋" w:cs="Tahoma" w:hint="eastAsia"/>
          <w:color w:val="333333"/>
          <w:kern w:val="0"/>
          <w:sz w:val="32"/>
          <w:szCs w:val="32"/>
        </w:rPr>
        <w:t>2</w:t>
      </w:r>
      <w:r>
        <w:rPr>
          <w:rFonts w:ascii="仿宋" w:eastAsia="仿宋" w:hAnsi="仿宋" w:cs="Tahoma"/>
          <w:color w:val="333333"/>
          <w:kern w:val="0"/>
          <w:sz w:val="32"/>
          <w:szCs w:val="32"/>
        </w:rPr>
        <w:t>名，副调研员2名，正科级干部</w:t>
      </w:r>
      <w:r>
        <w:rPr>
          <w:rFonts w:ascii="仿宋" w:eastAsia="仿宋" w:hAnsi="仿宋" w:cs="Tahoma" w:hint="eastAsia"/>
          <w:color w:val="333333"/>
          <w:kern w:val="0"/>
          <w:sz w:val="32"/>
          <w:szCs w:val="32"/>
        </w:rPr>
        <w:t>3</w:t>
      </w:r>
      <w:r>
        <w:rPr>
          <w:rFonts w:ascii="仿宋" w:eastAsia="仿宋" w:hAnsi="仿宋" w:cs="Tahoma"/>
          <w:color w:val="333333"/>
          <w:kern w:val="0"/>
          <w:sz w:val="32"/>
          <w:szCs w:val="32"/>
        </w:rPr>
        <w:t>名，主任科员1名，科员1名，目前空编</w:t>
      </w:r>
      <w:r>
        <w:rPr>
          <w:rFonts w:ascii="仿宋" w:eastAsia="仿宋" w:hAnsi="仿宋" w:cs="Tahoma" w:hint="eastAsia"/>
          <w:color w:val="333333"/>
          <w:kern w:val="0"/>
          <w:sz w:val="32"/>
          <w:szCs w:val="32"/>
        </w:rPr>
        <w:t>1</w:t>
      </w:r>
      <w:r>
        <w:rPr>
          <w:rFonts w:ascii="仿宋" w:eastAsia="仿宋" w:hAnsi="仿宋" w:cs="Tahoma"/>
          <w:color w:val="333333"/>
          <w:kern w:val="0"/>
          <w:sz w:val="32"/>
          <w:szCs w:val="32"/>
        </w:rPr>
        <w:t>个。市友协在职在编4人，其中科级领导职数</w:t>
      </w:r>
      <w:r>
        <w:rPr>
          <w:rFonts w:ascii="仿宋" w:eastAsia="仿宋" w:hAnsi="仿宋" w:cs="Tahoma" w:hint="eastAsia"/>
          <w:color w:val="333333"/>
          <w:kern w:val="0"/>
          <w:sz w:val="32"/>
          <w:szCs w:val="32"/>
        </w:rPr>
        <w:t>1</w:t>
      </w:r>
      <w:r>
        <w:rPr>
          <w:rFonts w:ascii="仿宋" w:eastAsia="仿宋" w:hAnsi="仿宋" w:cs="Tahoma"/>
          <w:color w:val="333333"/>
          <w:kern w:val="0"/>
          <w:sz w:val="32"/>
          <w:szCs w:val="32"/>
        </w:rPr>
        <w:t>名，科</w:t>
      </w:r>
      <w:bookmarkStart w:id="0" w:name="_GoBack"/>
      <w:bookmarkEnd w:id="0"/>
      <w:r>
        <w:rPr>
          <w:rFonts w:ascii="仿宋" w:eastAsia="仿宋" w:hAnsi="仿宋" w:cs="Tahoma"/>
          <w:color w:val="333333"/>
          <w:kern w:val="0"/>
          <w:sz w:val="32"/>
          <w:szCs w:val="32"/>
        </w:rPr>
        <w:t>员</w:t>
      </w:r>
      <w:r>
        <w:rPr>
          <w:rFonts w:ascii="仿宋" w:eastAsia="仿宋" w:hAnsi="仿宋" w:cs="Tahoma" w:hint="eastAsia"/>
          <w:color w:val="333333"/>
          <w:kern w:val="0"/>
          <w:sz w:val="32"/>
          <w:szCs w:val="32"/>
        </w:rPr>
        <w:t>2</w:t>
      </w:r>
      <w:r>
        <w:rPr>
          <w:rFonts w:ascii="仿宋" w:eastAsia="仿宋" w:hAnsi="仿宋" w:cs="Tahoma"/>
          <w:color w:val="333333"/>
          <w:kern w:val="0"/>
          <w:sz w:val="32"/>
          <w:szCs w:val="32"/>
        </w:rPr>
        <w:t>名，</w:t>
      </w:r>
      <w:r>
        <w:rPr>
          <w:rFonts w:ascii="仿宋" w:eastAsia="仿宋" w:hAnsi="仿宋" w:cs="Tahoma" w:hint="eastAsia"/>
          <w:color w:val="333333"/>
          <w:kern w:val="0"/>
          <w:sz w:val="32"/>
          <w:szCs w:val="32"/>
        </w:rPr>
        <w:t>办事员1名，</w:t>
      </w:r>
      <w:r>
        <w:rPr>
          <w:rFonts w:ascii="仿宋" w:eastAsia="仿宋" w:hAnsi="仿宋" w:cs="Tahoma"/>
          <w:color w:val="333333"/>
          <w:kern w:val="0"/>
          <w:sz w:val="32"/>
          <w:szCs w:val="32"/>
        </w:rPr>
        <w:t>目前空编2个。</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2.内设科室</w:t>
      </w:r>
    </w:p>
    <w:p w:rsidR="00A85F8E" w:rsidRDefault="00A755D7">
      <w:pPr>
        <w:widowControl/>
        <w:shd w:val="clear" w:color="auto" w:fill="FFFFFF"/>
        <w:spacing w:line="600" w:lineRule="atLeast"/>
        <w:ind w:firstLine="645"/>
        <w:jc w:val="left"/>
        <w:rPr>
          <w:rFonts w:ascii="仿宋" w:eastAsia="仿宋" w:hAnsi="仿宋" w:cs="Tahoma"/>
          <w:color w:val="333333"/>
          <w:kern w:val="0"/>
          <w:szCs w:val="21"/>
        </w:rPr>
      </w:pPr>
      <w:r>
        <w:rPr>
          <w:rFonts w:ascii="仿宋" w:eastAsia="仿宋" w:hAnsi="仿宋" w:cs="Tahoma"/>
          <w:color w:val="333333"/>
          <w:kern w:val="0"/>
          <w:sz w:val="32"/>
          <w:szCs w:val="32"/>
        </w:rPr>
        <w:t>内设6个内设机构：办公室、礼宾接待科、涉外管理科、侨务科、外国专家科（荆州市外国专家局）、国际交流科。</w:t>
      </w:r>
    </w:p>
    <w:p w:rsidR="00A85F8E" w:rsidRDefault="00A755D7">
      <w:pPr>
        <w:ind w:firstLineChars="200" w:firstLine="640"/>
        <w:rPr>
          <w:rFonts w:ascii="黑体" w:eastAsia="黑体" w:hAnsi="黑体" w:cs="黑体"/>
          <w:sz w:val="32"/>
          <w:szCs w:val="32"/>
        </w:rPr>
      </w:pPr>
      <w:r>
        <w:rPr>
          <w:rFonts w:ascii="黑体" w:eastAsia="黑体" w:hAnsi="黑体" w:cs="黑体" w:hint="eastAsia"/>
          <w:sz w:val="32"/>
          <w:szCs w:val="32"/>
        </w:rPr>
        <w:t>二、预算报表</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（一）收支总表</w:t>
      </w:r>
    </w:p>
    <w:tbl>
      <w:tblPr>
        <w:tblW w:w="9760" w:type="dxa"/>
        <w:tblInd w:w="-715" w:type="dxa"/>
        <w:tblLayout w:type="fixed"/>
        <w:tblLook w:val="04A0"/>
      </w:tblPr>
      <w:tblGrid>
        <w:gridCol w:w="4004"/>
        <w:gridCol w:w="956"/>
        <w:gridCol w:w="3235"/>
        <w:gridCol w:w="1565"/>
      </w:tblGrid>
      <w:tr w:rsidR="00A85F8E">
        <w:trPr>
          <w:trHeight w:val="600"/>
        </w:trPr>
        <w:tc>
          <w:tcPr>
            <w:tcW w:w="9760" w:type="dxa"/>
            <w:gridSpan w:val="4"/>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表一：2019年部门收支总表</w:t>
            </w:r>
          </w:p>
        </w:tc>
      </w:tr>
      <w:tr w:rsidR="00A85F8E">
        <w:trPr>
          <w:trHeight w:val="402"/>
        </w:trPr>
        <w:tc>
          <w:tcPr>
            <w:tcW w:w="4004"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565"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收　　　　　　　　入</w:t>
            </w:r>
          </w:p>
        </w:tc>
        <w:tc>
          <w:tcPr>
            <w:tcW w:w="4800" w:type="dxa"/>
            <w:gridSpan w:val="2"/>
            <w:tcBorders>
              <w:top w:val="single" w:sz="4" w:space="0" w:color="auto"/>
              <w:left w:val="nil"/>
              <w:bottom w:val="single" w:sz="4" w:space="0" w:color="auto"/>
              <w:right w:val="single" w:sz="4" w:space="0" w:color="000000"/>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支　　　　　　　　出</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c>
          <w:tcPr>
            <w:tcW w:w="32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一、财政拨款收入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一、一般公共服务支出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204.12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其中：一般公共预算拨款</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二、公共安全支出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政府性基金预算拨款</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三、教育支出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二、上级补助收入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四、科学技术支出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三、事业收入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五、文化体育与传媒支出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四、事业单位经营收入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六、社会保障和就业支出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五、附属单位上缴收入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七、卫生健康支出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六、其他收入</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八、节能环保支出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九、城乡社区支出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十、农林水支出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十一、交通运输支出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十二、资源勘探信息等支出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十三、商业服务业等支出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auto"/>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十四、自然资源海洋气象等支出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single" w:sz="4" w:space="0" w:color="auto"/>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十五、住房保障支出</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十六、粮油物资储备支出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十七、其他支出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十八、灾害防治及应急管理支出</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本年收入合计</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32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本年支出合计</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上年结转</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结转下年</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动用事业基金</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32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收入总计</w:t>
            </w:r>
          </w:p>
        </w:tc>
        <w:tc>
          <w:tcPr>
            <w:tcW w:w="956"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32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支出总计</w:t>
            </w:r>
          </w:p>
        </w:tc>
        <w:tc>
          <w:tcPr>
            <w:tcW w:w="156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（二）收入总表</w:t>
      </w:r>
    </w:p>
    <w:tbl>
      <w:tblPr>
        <w:tblW w:w="8662" w:type="dxa"/>
        <w:tblInd w:w="93" w:type="dxa"/>
        <w:tblLayout w:type="fixed"/>
        <w:tblLook w:val="04A0"/>
      </w:tblPr>
      <w:tblGrid>
        <w:gridCol w:w="1080"/>
        <w:gridCol w:w="4747"/>
        <w:gridCol w:w="2835"/>
      </w:tblGrid>
      <w:tr w:rsidR="00A85F8E">
        <w:trPr>
          <w:trHeight w:val="499"/>
        </w:trPr>
        <w:tc>
          <w:tcPr>
            <w:tcW w:w="8662" w:type="dxa"/>
            <w:gridSpan w:val="3"/>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表二：2019年部门收入总表</w:t>
            </w:r>
          </w:p>
        </w:tc>
      </w:tr>
      <w:tr w:rsidR="00A85F8E">
        <w:trPr>
          <w:trHeight w:val="499"/>
        </w:trPr>
        <w:tc>
          <w:tcPr>
            <w:tcW w:w="1080" w:type="dxa"/>
            <w:tcBorders>
              <w:top w:val="nil"/>
              <w:left w:val="nil"/>
              <w:bottom w:val="single" w:sz="4" w:space="0" w:color="auto"/>
              <w:right w:val="nil"/>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　</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序号</w:t>
            </w:r>
          </w:p>
        </w:tc>
        <w:tc>
          <w:tcPr>
            <w:tcW w:w="4747"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收入项目</w:t>
            </w:r>
          </w:p>
        </w:tc>
        <w:tc>
          <w:tcPr>
            <w:tcW w:w="2835"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一、</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财政拨款补助收入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公共预算财政拨款</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政府性基金</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二、</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上级补助收入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市本级主管部门</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非本级补助资金</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三、</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事业收入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四、</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事业单位经营收入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五、</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附属单位上缴收入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六、</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其他收入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非本级财政拨款</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财政专户资金结余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其他</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　</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本年收入合计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七、</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上年结转</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单位账户资金结转结余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预算指标统筹</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八、</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动用事业基金</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　</w:t>
            </w:r>
          </w:p>
        </w:tc>
        <w:tc>
          <w:tcPr>
            <w:tcW w:w="4747" w:type="dxa"/>
            <w:tcBorders>
              <w:top w:val="nil"/>
              <w:left w:val="nil"/>
              <w:bottom w:val="single" w:sz="4" w:space="0" w:color="auto"/>
              <w:right w:val="nil"/>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收入总计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（三）支出总表</w:t>
      </w:r>
    </w:p>
    <w:tbl>
      <w:tblPr>
        <w:tblW w:w="8379" w:type="dxa"/>
        <w:tblInd w:w="93" w:type="dxa"/>
        <w:tblLayout w:type="fixed"/>
        <w:tblLook w:val="04A0"/>
      </w:tblPr>
      <w:tblGrid>
        <w:gridCol w:w="1800"/>
        <w:gridCol w:w="3820"/>
        <w:gridCol w:w="2759"/>
      </w:tblGrid>
      <w:tr w:rsidR="00A85F8E">
        <w:trPr>
          <w:trHeight w:val="499"/>
        </w:trPr>
        <w:tc>
          <w:tcPr>
            <w:tcW w:w="8379" w:type="dxa"/>
            <w:gridSpan w:val="3"/>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lastRenderedPageBreak/>
              <w:t>表三：2019年部门支出总表</w:t>
            </w:r>
          </w:p>
        </w:tc>
      </w:tr>
      <w:tr w:rsidR="00A85F8E">
        <w:trPr>
          <w:trHeight w:val="402"/>
        </w:trPr>
        <w:tc>
          <w:tcPr>
            <w:tcW w:w="1800" w:type="dxa"/>
            <w:tcBorders>
              <w:top w:val="nil"/>
              <w:left w:val="nil"/>
              <w:bottom w:val="single" w:sz="4" w:space="0" w:color="auto"/>
              <w:right w:val="nil"/>
            </w:tcBorders>
            <w:shd w:val="clear" w:color="auto" w:fill="auto"/>
            <w:noWrap/>
            <w:vAlign w:val="center"/>
          </w:tcPr>
          <w:p w:rsidR="00A85F8E" w:rsidRDefault="00A755D7">
            <w:pPr>
              <w:widowControl/>
              <w:jc w:val="left"/>
              <w:rPr>
                <w:rFonts w:ascii="仿宋" w:eastAsia="仿宋" w:hAnsi="仿宋" w:cs="宋体"/>
                <w:kern w:val="0"/>
                <w:sz w:val="22"/>
              </w:rPr>
            </w:pPr>
            <w:r>
              <w:rPr>
                <w:rFonts w:ascii="仿宋" w:eastAsia="仿宋" w:hAnsi="仿宋" w:cs="宋体" w:hint="eastAsia"/>
                <w:kern w:val="0"/>
                <w:sz w:val="22"/>
              </w:rPr>
              <w:t xml:space="preserve">　</w:t>
            </w:r>
          </w:p>
        </w:tc>
        <w:tc>
          <w:tcPr>
            <w:tcW w:w="382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759"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序号</w:t>
            </w:r>
          </w:p>
        </w:tc>
        <w:tc>
          <w:tcPr>
            <w:tcW w:w="38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支出项目</w:t>
            </w:r>
          </w:p>
        </w:tc>
        <w:tc>
          <w:tcPr>
            <w:tcW w:w="2759"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一、</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基本支出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211.55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工资福利支出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158.81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商品和服务支出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52.74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对个人和家庭补助支出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二、</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项目支出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23.41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三、</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上缴上级支出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四、</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事业单位经营支出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五、</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对附属单补助支出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本年支出合计</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六、</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结转下年支出</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支出总计</w:t>
            </w:r>
          </w:p>
        </w:tc>
        <w:tc>
          <w:tcPr>
            <w:tcW w:w="2759"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（四）财政拨款收支总表</w:t>
      </w:r>
    </w:p>
    <w:tbl>
      <w:tblPr>
        <w:tblW w:w="9425" w:type="dxa"/>
        <w:tblInd w:w="-601" w:type="dxa"/>
        <w:tblLayout w:type="fixed"/>
        <w:tblLook w:val="04A0"/>
      </w:tblPr>
      <w:tblGrid>
        <w:gridCol w:w="2694"/>
        <w:gridCol w:w="1482"/>
        <w:gridCol w:w="236"/>
        <w:gridCol w:w="266"/>
        <w:gridCol w:w="2835"/>
        <w:gridCol w:w="1256"/>
        <w:gridCol w:w="656"/>
      </w:tblGrid>
      <w:tr w:rsidR="00A85F8E">
        <w:trPr>
          <w:trHeight w:val="600"/>
        </w:trPr>
        <w:tc>
          <w:tcPr>
            <w:tcW w:w="9425" w:type="dxa"/>
            <w:gridSpan w:val="7"/>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表四：2019年财政拨款收支总表</w:t>
            </w:r>
          </w:p>
        </w:tc>
      </w:tr>
      <w:tr w:rsidR="00A85F8E">
        <w:trPr>
          <w:trHeight w:val="402"/>
        </w:trPr>
        <w:tc>
          <w:tcPr>
            <w:tcW w:w="4176" w:type="dxa"/>
            <w:gridSpan w:val="2"/>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36"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4357" w:type="dxa"/>
            <w:gridSpan w:val="3"/>
            <w:tcBorders>
              <w:top w:val="nil"/>
              <w:left w:val="nil"/>
              <w:bottom w:val="single" w:sz="4" w:space="0" w:color="auto"/>
              <w:right w:val="nil"/>
            </w:tcBorders>
            <w:shd w:val="clear" w:color="auto" w:fill="auto"/>
            <w:noWrap/>
            <w:vAlign w:val="center"/>
          </w:tcPr>
          <w:p w:rsidR="00A85F8E" w:rsidRDefault="00A755D7">
            <w:pPr>
              <w:widowControl/>
              <w:ind w:firstLineChars="1300" w:firstLine="2860"/>
              <w:jc w:val="left"/>
              <w:rPr>
                <w:rFonts w:asciiTheme="minorEastAsia" w:hAnsiTheme="minorEastAsia" w:cs="宋体"/>
                <w:kern w:val="0"/>
                <w:sz w:val="22"/>
              </w:rPr>
            </w:pPr>
            <w:r>
              <w:rPr>
                <w:rFonts w:asciiTheme="minorEastAsia" w:hAnsiTheme="minorEastAsia" w:cs="宋体" w:hint="eastAsia"/>
                <w:kern w:val="0"/>
                <w:sz w:val="22"/>
              </w:rPr>
              <w:t xml:space="preserve">　单位：万元</w:t>
            </w:r>
          </w:p>
        </w:tc>
        <w:tc>
          <w:tcPr>
            <w:tcW w:w="656" w:type="dxa"/>
            <w:tcBorders>
              <w:top w:val="nil"/>
              <w:left w:val="nil"/>
              <w:bottom w:val="single" w:sz="4" w:space="0" w:color="auto"/>
              <w:right w:val="nil"/>
            </w:tcBorders>
            <w:shd w:val="clear" w:color="auto" w:fill="auto"/>
            <w:noWrap/>
            <w:vAlign w:val="center"/>
          </w:tcPr>
          <w:p w:rsidR="00A85F8E" w:rsidRDefault="00A85F8E">
            <w:pPr>
              <w:widowControl/>
              <w:ind w:right="330"/>
              <w:jc w:val="right"/>
              <w:rPr>
                <w:rFonts w:asciiTheme="minorEastAsia" w:hAnsiTheme="minorEastAsia" w:cs="宋体"/>
                <w:kern w:val="0"/>
                <w:sz w:val="22"/>
              </w:rPr>
            </w:pPr>
          </w:p>
        </w:tc>
      </w:tr>
      <w:tr w:rsidR="00A85F8E">
        <w:trPr>
          <w:trHeight w:val="402"/>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收　　　　　　　　入</w:t>
            </w:r>
          </w:p>
        </w:tc>
        <w:tc>
          <w:tcPr>
            <w:tcW w:w="4747" w:type="dxa"/>
            <w:gridSpan w:val="3"/>
            <w:tcBorders>
              <w:top w:val="single" w:sz="4" w:space="0" w:color="auto"/>
              <w:left w:val="nil"/>
              <w:bottom w:val="single" w:sz="4" w:space="0" w:color="auto"/>
              <w:right w:val="single" w:sz="4" w:space="0" w:color="000000"/>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支　　　　　　　　出</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c>
          <w:tcPr>
            <w:tcW w:w="28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一、公共预算财政拨款</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一、一般公共服务支出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204.12</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1、经费拨款</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二、公共安全支出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2、专项拨款</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三、教育支出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3、行政事业性收费拨款</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四、科学技术支出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4、国有资源有偿使用收入拨款</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五、文化旅游体育与传媒支出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5、办案费</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六、社会保障和就业支出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6、中省转移支付补助</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七、卫生健康支出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16.98</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7、财政金库结转收入</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八、节能环保支出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8、政府预算体系统筹</w:t>
            </w:r>
          </w:p>
        </w:tc>
        <w:tc>
          <w:tcPr>
            <w:tcW w:w="1984" w:type="dxa"/>
            <w:gridSpan w:val="3"/>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auto"/>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九、城乡社区支出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single" w:sz="4" w:space="0" w:color="auto"/>
              <w:left w:val="single" w:sz="4" w:space="0" w:color="auto"/>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二、政府性基金拨款</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十、农林水支出</w:t>
            </w:r>
          </w:p>
        </w:tc>
        <w:tc>
          <w:tcPr>
            <w:tcW w:w="1912" w:type="dxa"/>
            <w:gridSpan w:val="2"/>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十一、交通运输支出</w:t>
            </w:r>
          </w:p>
        </w:tc>
        <w:tc>
          <w:tcPr>
            <w:tcW w:w="1912" w:type="dxa"/>
            <w:gridSpan w:val="2"/>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十二、资源勘探信息等支出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十三、商业服务业等支出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十四、自然资源海洋气象等支出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十五、住房保障支出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13.86</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十六、粮油物资储备支出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A85F8E" w:rsidRDefault="00A755D7">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十七、其他支出</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auto"/>
              <w:right w:val="single" w:sz="4" w:space="0" w:color="auto"/>
            </w:tcBorders>
            <w:shd w:val="clear" w:color="auto" w:fill="auto"/>
            <w:noWrap/>
            <w:vAlign w:val="bottom"/>
          </w:tcPr>
          <w:p w:rsidR="00A85F8E" w:rsidRDefault="00A755D7">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912" w:type="dxa"/>
            <w:gridSpan w:val="2"/>
            <w:tcBorders>
              <w:top w:val="nil"/>
              <w:left w:val="nil"/>
              <w:bottom w:val="single" w:sz="4" w:space="0" w:color="auto"/>
              <w:right w:val="single" w:sz="4" w:space="0" w:color="auto"/>
            </w:tcBorders>
            <w:shd w:val="clear" w:color="auto" w:fill="auto"/>
            <w:noWrap/>
            <w:vAlign w:val="bottom"/>
          </w:tcPr>
          <w:p w:rsidR="00A85F8E" w:rsidRDefault="00A755D7">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2835" w:type="dxa"/>
            <w:tcBorders>
              <w:top w:val="nil"/>
              <w:left w:val="nil"/>
              <w:bottom w:val="single" w:sz="4" w:space="0" w:color="auto"/>
              <w:right w:val="single" w:sz="4" w:space="0" w:color="auto"/>
            </w:tcBorders>
            <w:shd w:val="clear" w:color="auto" w:fill="auto"/>
            <w:noWrap/>
            <w:vAlign w:val="bottom"/>
          </w:tcPr>
          <w:p w:rsidR="00A85F8E" w:rsidRDefault="00A755D7">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1912" w:type="dxa"/>
            <w:gridSpan w:val="2"/>
            <w:tcBorders>
              <w:top w:val="nil"/>
              <w:left w:val="nil"/>
              <w:bottom w:val="single" w:sz="4" w:space="0" w:color="auto"/>
              <w:right w:val="single" w:sz="4" w:space="0" w:color="auto"/>
            </w:tcBorders>
            <w:shd w:val="clear" w:color="auto" w:fill="auto"/>
            <w:noWrap/>
            <w:vAlign w:val="bottom"/>
          </w:tcPr>
          <w:p w:rsidR="00A85F8E" w:rsidRDefault="00A755D7">
            <w:pPr>
              <w:widowControl/>
              <w:jc w:val="righ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r>
      <w:tr w:rsidR="00A85F8E">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财政拨款收入总计</w:t>
            </w:r>
          </w:p>
        </w:tc>
        <w:tc>
          <w:tcPr>
            <w:tcW w:w="1984" w:type="dxa"/>
            <w:gridSpan w:val="3"/>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283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财政拨款支出总计</w:t>
            </w:r>
          </w:p>
        </w:tc>
        <w:tc>
          <w:tcPr>
            <w:tcW w:w="1912" w:type="dxa"/>
            <w:gridSpan w:val="2"/>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234.96</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（五）一般公共预算支出表</w:t>
      </w:r>
    </w:p>
    <w:tbl>
      <w:tblPr>
        <w:tblW w:w="10420" w:type="dxa"/>
        <w:tblInd w:w="-1045" w:type="dxa"/>
        <w:tblLayout w:type="fixed"/>
        <w:tblLook w:val="04A0"/>
      </w:tblPr>
      <w:tblGrid>
        <w:gridCol w:w="1540"/>
        <w:gridCol w:w="1600"/>
        <w:gridCol w:w="960"/>
        <w:gridCol w:w="980"/>
        <w:gridCol w:w="820"/>
        <w:gridCol w:w="1000"/>
        <w:gridCol w:w="1160"/>
        <w:gridCol w:w="1230"/>
        <w:gridCol w:w="1130"/>
      </w:tblGrid>
      <w:tr w:rsidR="00A85F8E">
        <w:trPr>
          <w:trHeight w:val="600"/>
        </w:trPr>
        <w:tc>
          <w:tcPr>
            <w:tcW w:w="10420" w:type="dxa"/>
            <w:gridSpan w:val="9"/>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bookmarkStart w:id="1" w:name="RANGE!A1:I13"/>
            <w:r>
              <w:rPr>
                <w:rFonts w:asciiTheme="minorEastAsia" w:hAnsiTheme="minorEastAsia" w:cs="宋体" w:hint="eastAsia"/>
                <w:kern w:val="0"/>
                <w:sz w:val="32"/>
                <w:szCs w:val="32"/>
              </w:rPr>
              <w:t>表五：2019年一般公共预算支出表</w:t>
            </w:r>
            <w:bookmarkEnd w:id="1"/>
          </w:p>
        </w:tc>
      </w:tr>
      <w:tr w:rsidR="00A85F8E">
        <w:trPr>
          <w:trHeight w:val="402"/>
        </w:trPr>
        <w:tc>
          <w:tcPr>
            <w:tcW w:w="154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0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6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8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820"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nil"/>
              <w:right w:val="nil"/>
            </w:tcBorders>
            <w:shd w:val="clear" w:color="auto" w:fill="auto"/>
            <w:noWrap/>
            <w:vAlign w:val="bottom"/>
          </w:tcPr>
          <w:p w:rsidR="00A85F8E" w:rsidRDefault="00A85F8E">
            <w:pPr>
              <w:widowControl/>
              <w:jc w:val="left"/>
              <w:rPr>
                <w:rFonts w:asciiTheme="minorEastAsia" w:hAnsiTheme="minorEastAsia" w:cs="宋体"/>
                <w:kern w:val="0"/>
                <w:sz w:val="24"/>
                <w:szCs w:val="24"/>
              </w:rPr>
            </w:pPr>
          </w:p>
        </w:tc>
        <w:tc>
          <w:tcPr>
            <w:tcW w:w="1160" w:type="dxa"/>
            <w:tcBorders>
              <w:top w:val="nil"/>
              <w:left w:val="nil"/>
              <w:bottom w:val="nil"/>
              <w:right w:val="nil"/>
            </w:tcBorders>
            <w:shd w:val="clear" w:color="auto" w:fill="auto"/>
            <w:noWrap/>
            <w:vAlign w:val="bottom"/>
          </w:tcPr>
          <w:p w:rsidR="00A85F8E" w:rsidRDefault="00A85F8E">
            <w:pPr>
              <w:widowControl/>
              <w:jc w:val="left"/>
              <w:rPr>
                <w:rFonts w:asciiTheme="minorEastAsia" w:hAnsiTheme="minorEastAsia" w:cs="宋体"/>
                <w:kern w:val="0"/>
                <w:sz w:val="24"/>
                <w:szCs w:val="24"/>
              </w:rPr>
            </w:pPr>
          </w:p>
        </w:tc>
        <w:tc>
          <w:tcPr>
            <w:tcW w:w="1230" w:type="dxa"/>
            <w:tcBorders>
              <w:top w:val="nil"/>
              <w:left w:val="nil"/>
              <w:bottom w:val="nil"/>
              <w:right w:val="nil"/>
            </w:tcBorders>
            <w:shd w:val="clear" w:color="auto" w:fill="auto"/>
            <w:noWrap/>
            <w:vAlign w:val="bottom"/>
          </w:tcPr>
          <w:p w:rsidR="00A85F8E" w:rsidRDefault="00A755D7">
            <w:pPr>
              <w:widowControl/>
              <w:jc w:val="left"/>
              <w:rPr>
                <w:rFonts w:asciiTheme="minorEastAsia" w:hAnsiTheme="minorEastAsia" w:cs="宋体"/>
                <w:kern w:val="0"/>
                <w:sz w:val="24"/>
                <w:szCs w:val="24"/>
              </w:rPr>
            </w:pPr>
            <w:r>
              <w:rPr>
                <w:rFonts w:asciiTheme="minorEastAsia" w:hAnsiTheme="minorEastAsia" w:cs="宋体" w:hint="eastAsia"/>
                <w:kern w:val="0"/>
                <w:sz w:val="22"/>
              </w:rPr>
              <w:t>单位：万元</w:t>
            </w:r>
          </w:p>
        </w:tc>
        <w:tc>
          <w:tcPr>
            <w:tcW w:w="1130" w:type="dxa"/>
            <w:tcBorders>
              <w:top w:val="nil"/>
              <w:left w:val="nil"/>
              <w:bottom w:val="nil"/>
              <w:right w:val="nil"/>
            </w:tcBorders>
            <w:shd w:val="clear" w:color="auto" w:fill="auto"/>
            <w:noWrap/>
            <w:vAlign w:val="center"/>
          </w:tcPr>
          <w:p w:rsidR="00A85F8E" w:rsidRDefault="00A85F8E">
            <w:pPr>
              <w:widowControl/>
              <w:ind w:right="440"/>
              <w:rPr>
                <w:rFonts w:asciiTheme="minorEastAsia" w:hAnsiTheme="minorEastAsia" w:cs="宋体"/>
                <w:kern w:val="0"/>
                <w:sz w:val="22"/>
              </w:rPr>
            </w:pP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科目编码</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科目名称</w:t>
            </w:r>
          </w:p>
        </w:tc>
        <w:tc>
          <w:tcPr>
            <w:tcW w:w="96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预算数合计</w:t>
            </w:r>
          </w:p>
        </w:tc>
        <w:tc>
          <w:tcPr>
            <w:tcW w:w="98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基本支出</w:t>
            </w:r>
          </w:p>
        </w:tc>
        <w:tc>
          <w:tcPr>
            <w:tcW w:w="8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项目支出</w:t>
            </w:r>
          </w:p>
        </w:tc>
        <w:tc>
          <w:tcPr>
            <w:tcW w:w="100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上缴上级支出</w:t>
            </w:r>
          </w:p>
        </w:tc>
        <w:tc>
          <w:tcPr>
            <w:tcW w:w="116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事业单位经营支出</w:t>
            </w:r>
          </w:p>
        </w:tc>
        <w:tc>
          <w:tcPr>
            <w:tcW w:w="123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对附属单位补助支出</w:t>
            </w:r>
          </w:p>
        </w:tc>
        <w:tc>
          <w:tcPr>
            <w:tcW w:w="113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结转下年支出</w:t>
            </w:r>
          </w:p>
        </w:tc>
      </w:tr>
      <w:tr w:rsidR="00A85F8E">
        <w:trPr>
          <w:trHeight w:val="27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合计</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234.96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211.55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23.41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201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一般公共服务支出</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204.12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180.71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23.41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285"/>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20125</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港澳台事务</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204.12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180.71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23.41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285"/>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2012501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行政运行</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204.12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180.71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23.41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285"/>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210</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卫生健康支出</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21011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行政事业单位医疗</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2101101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行政单位医疗</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285"/>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221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住房保障支出</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22102</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住房改革支出</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540"/>
        </w:trPr>
        <w:tc>
          <w:tcPr>
            <w:tcW w:w="154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2210201</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住房公积金</w:t>
            </w:r>
          </w:p>
        </w:tc>
        <w:tc>
          <w:tcPr>
            <w:tcW w:w="9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98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c>
          <w:tcPr>
            <w:tcW w:w="82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（六）一般公共预算基本支出表</w:t>
      </w:r>
    </w:p>
    <w:tbl>
      <w:tblPr>
        <w:tblW w:w="8647" w:type="dxa"/>
        <w:tblInd w:w="-34" w:type="dxa"/>
        <w:tblLayout w:type="fixed"/>
        <w:tblLook w:val="04A0"/>
      </w:tblPr>
      <w:tblGrid>
        <w:gridCol w:w="2269"/>
        <w:gridCol w:w="3685"/>
        <w:gridCol w:w="2693"/>
      </w:tblGrid>
      <w:tr w:rsidR="00A85F8E">
        <w:trPr>
          <w:trHeight w:val="600"/>
        </w:trPr>
        <w:tc>
          <w:tcPr>
            <w:tcW w:w="8647" w:type="dxa"/>
            <w:gridSpan w:val="3"/>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bookmarkStart w:id="2" w:name="RANGE!A1:C31"/>
            <w:r>
              <w:rPr>
                <w:rFonts w:asciiTheme="minorEastAsia" w:hAnsiTheme="minorEastAsia" w:cs="宋体" w:hint="eastAsia"/>
                <w:kern w:val="0"/>
                <w:sz w:val="32"/>
                <w:szCs w:val="32"/>
              </w:rPr>
              <w:t>表六：2019年一般公共预算基本支出表</w:t>
            </w:r>
            <w:bookmarkEnd w:id="2"/>
          </w:p>
        </w:tc>
      </w:tr>
      <w:tr w:rsidR="00A85F8E">
        <w:trPr>
          <w:trHeight w:val="600"/>
        </w:trPr>
        <w:tc>
          <w:tcPr>
            <w:tcW w:w="2269"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685"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693"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60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科目编码</w:t>
            </w:r>
          </w:p>
        </w:tc>
        <w:tc>
          <w:tcPr>
            <w:tcW w:w="3685"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科目名称</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合计</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211.55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lastRenderedPageBreak/>
              <w:t>301</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工资福利支出</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158.81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30101</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基本工资</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51.15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30102</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津贴补贴</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41.27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30103</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奖金</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4.26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30106</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伙食补助费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5.04 </w:t>
            </w:r>
          </w:p>
        </w:tc>
      </w:tr>
      <w:tr w:rsidR="00A85F8E">
        <w:trPr>
          <w:trHeight w:val="54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30108</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机关事业单位基本养老保险缴费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24.50 </w:t>
            </w:r>
          </w:p>
        </w:tc>
      </w:tr>
      <w:tr w:rsidR="00A85F8E">
        <w:trPr>
          <w:trHeight w:val="54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30110</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城镇职工基本医疗保险缴费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16.98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30112</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其他社会保障缴费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1.75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30113</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住房公积金</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13.86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302</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商品和服务支出</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52.74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30201</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办公费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2.52 </w:t>
            </w:r>
          </w:p>
        </w:tc>
      </w:tr>
      <w:tr w:rsidR="00A85F8E">
        <w:trPr>
          <w:trHeight w:val="28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30202</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印刷费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1.12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30205</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水费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0.70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30206</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电费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2.80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30207</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邮电费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2.94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30209</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物业管理费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0.70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30211</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差旅费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4.48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30213</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维修(护)费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1.40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30215</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会议费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2.45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30216</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培训费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0.84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30217</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公务接待费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3.88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30226</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劳务费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2.80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30227</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委托业务费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1.70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30228</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工会经费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1.85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30229</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福利费</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2.31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30239</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其他交通费用</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14.97 </w:t>
            </w:r>
          </w:p>
        </w:tc>
      </w:tr>
      <w:tr w:rsidR="00A85F8E">
        <w:trPr>
          <w:trHeight w:val="27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30299</w:t>
            </w:r>
          </w:p>
        </w:tc>
        <w:tc>
          <w:tcPr>
            <w:tcW w:w="3685"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其他商品和服务支出</w:t>
            </w:r>
          </w:p>
        </w:tc>
        <w:tc>
          <w:tcPr>
            <w:tcW w:w="2693"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5.28 </w:t>
            </w:r>
          </w:p>
        </w:tc>
      </w:tr>
    </w:tbl>
    <w:tbl>
      <w:tblPr>
        <w:tblpPr w:leftFromText="180" w:rightFromText="180" w:vertAnchor="text" w:horzAnchor="margin" w:tblpXSpec="center" w:tblpY="374"/>
        <w:tblW w:w="10481" w:type="dxa"/>
        <w:tblLayout w:type="fixed"/>
        <w:tblLook w:val="04A0"/>
      </w:tblPr>
      <w:tblGrid>
        <w:gridCol w:w="1480"/>
        <w:gridCol w:w="1600"/>
        <w:gridCol w:w="940"/>
        <w:gridCol w:w="1080"/>
        <w:gridCol w:w="1080"/>
        <w:gridCol w:w="1080"/>
        <w:gridCol w:w="1070"/>
        <w:gridCol w:w="1021"/>
        <w:gridCol w:w="1130"/>
      </w:tblGrid>
      <w:tr w:rsidR="00A85F8E">
        <w:trPr>
          <w:trHeight w:val="600"/>
        </w:trPr>
        <w:tc>
          <w:tcPr>
            <w:tcW w:w="10481" w:type="dxa"/>
            <w:gridSpan w:val="9"/>
            <w:tcBorders>
              <w:top w:val="nil"/>
              <w:left w:val="nil"/>
              <w:bottom w:val="nil"/>
              <w:right w:val="nil"/>
            </w:tcBorders>
            <w:shd w:val="clear" w:color="auto" w:fill="auto"/>
            <w:noWrap/>
            <w:vAlign w:val="center"/>
          </w:tcPr>
          <w:p w:rsidR="00A85F8E" w:rsidRDefault="00A755D7">
            <w:pPr>
              <w:widowControl/>
              <w:jc w:val="center"/>
              <w:rPr>
                <w:rFonts w:asciiTheme="minorEastAsia" w:hAnsiTheme="minorEastAsia" w:cs="宋体"/>
                <w:kern w:val="0"/>
                <w:sz w:val="32"/>
                <w:szCs w:val="32"/>
              </w:rPr>
            </w:pPr>
            <w:bookmarkStart w:id="3" w:name="RANGE!A1:I3"/>
            <w:r>
              <w:rPr>
                <w:rFonts w:asciiTheme="minorEastAsia" w:hAnsiTheme="minorEastAsia" w:cs="宋体" w:hint="eastAsia"/>
                <w:kern w:val="0"/>
                <w:sz w:val="32"/>
                <w:szCs w:val="32"/>
              </w:rPr>
              <w:t>表七：2019年政府性基金预算支出表</w:t>
            </w:r>
            <w:bookmarkEnd w:id="3"/>
          </w:p>
        </w:tc>
      </w:tr>
      <w:tr w:rsidR="00A85F8E">
        <w:trPr>
          <w:trHeight w:val="402"/>
        </w:trPr>
        <w:tc>
          <w:tcPr>
            <w:tcW w:w="148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0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nil"/>
              <w:right w:val="nil"/>
            </w:tcBorders>
            <w:shd w:val="clear" w:color="auto" w:fill="auto"/>
            <w:noWrap/>
            <w:vAlign w:val="bottom"/>
          </w:tcPr>
          <w:p w:rsidR="00A85F8E" w:rsidRDefault="00A85F8E">
            <w:pPr>
              <w:widowControl/>
              <w:jc w:val="left"/>
              <w:rPr>
                <w:rFonts w:asciiTheme="minorEastAsia" w:hAnsiTheme="minorEastAsia" w:cs="宋体"/>
                <w:kern w:val="0"/>
                <w:sz w:val="24"/>
                <w:szCs w:val="24"/>
              </w:rPr>
            </w:pPr>
          </w:p>
        </w:tc>
        <w:tc>
          <w:tcPr>
            <w:tcW w:w="1070" w:type="dxa"/>
            <w:tcBorders>
              <w:top w:val="nil"/>
              <w:left w:val="nil"/>
              <w:bottom w:val="nil"/>
              <w:right w:val="nil"/>
            </w:tcBorders>
            <w:shd w:val="clear" w:color="auto" w:fill="auto"/>
            <w:noWrap/>
            <w:vAlign w:val="bottom"/>
          </w:tcPr>
          <w:p w:rsidR="00A85F8E" w:rsidRDefault="00A85F8E">
            <w:pPr>
              <w:widowControl/>
              <w:jc w:val="left"/>
              <w:rPr>
                <w:rFonts w:asciiTheme="minorEastAsia" w:hAnsiTheme="minorEastAsia" w:cs="宋体"/>
                <w:kern w:val="0"/>
                <w:sz w:val="24"/>
                <w:szCs w:val="24"/>
              </w:rPr>
            </w:pPr>
          </w:p>
        </w:tc>
        <w:tc>
          <w:tcPr>
            <w:tcW w:w="1021" w:type="dxa"/>
            <w:tcBorders>
              <w:top w:val="nil"/>
              <w:left w:val="nil"/>
              <w:bottom w:val="nil"/>
              <w:right w:val="nil"/>
            </w:tcBorders>
            <w:shd w:val="clear" w:color="auto" w:fill="auto"/>
            <w:noWrap/>
            <w:vAlign w:val="bottom"/>
          </w:tcPr>
          <w:p w:rsidR="00A85F8E" w:rsidRDefault="00A85F8E">
            <w:pPr>
              <w:widowControl/>
              <w:jc w:val="left"/>
              <w:rPr>
                <w:rFonts w:asciiTheme="minorEastAsia" w:hAnsiTheme="minorEastAsia" w:cs="宋体"/>
                <w:kern w:val="0"/>
                <w:sz w:val="24"/>
                <w:szCs w:val="24"/>
              </w:rPr>
            </w:pPr>
          </w:p>
        </w:tc>
        <w:tc>
          <w:tcPr>
            <w:tcW w:w="1130" w:type="dxa"/>
            <w:tcBorders>
              <w:top w:val="nil"/>
              <w:left w:val="nil"/>
              <w:bottom w:val="nil"/>
              <w:right w:val="nil"/>
            </w:tcBorders>
            <w:shd w:val="clear" w:color="auto" w:fill="auto"/>
            <w:noWrap/>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810"/>
        </w:trPr>
        <w:tc>
          <w:tcPr>
            <w:tcW w:w="1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科目编码</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科目名称</w:t>
            </w:r>
          </w:p>
        </w:tc>
        <w:tc>
          <w:tcPr>
            <w:tcW w:w="94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预算数合计</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基本支出</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项目支出</w:t>
            </w:r>
          </w:p>
        </w:tc>
        <w:tc>
          <w:tcPr>
            <w:tcW w:w="108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上缴上级支出</w:t>
            </w:r>
          </w:p>
        </w:tc>
        <w:tc>
          <w:tcPr>
            <w:tcW w:w="107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事业单位经营支出</w:t>
            </w:r>
          </w:p>
        </w:tc>
        <w:tc>
          <w:tcPr>
            <w:tcW w:w="1021"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对附属单位补助支出</w:t>
            </w:r>
          </w:p>
        </w:tc>
        <w:tc>
          <w:tcPr>
            <w:tcW w:w="113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结转下年支出</w:t>
            </w:r>
          </w:p>
        </w:tc>
      </w:tr>
      <w:tr w:rsidR="00A85F8E">
        <w:trPr>
          <w:trHeight w:val="402"/>
        </w:trPr>
        <w:tc>
          <w:tcPr>
            <w:tcW w:w="1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7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021"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402"/>
        </w:trPr>
        <w:tc>
          <w:tcPr>
            <w:tcW w:w="1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7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021"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（七）政府性基金预算支出表</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（八）三公经费支出表</w:t>
      </w:r>
    </w:p>
    <w:tbl>
      <w:tblPr>
        <w:tblW w:w="8500" w:type="dxa"/>
        <w:tblInd w:w="93" w:type="dxa"/>
        <w:tblLayout w:type="fixed"/>
        <w:tblLook w:val="04A0"/>
      </w:tblPr>
      <w:tblGrid>
        <w:gridCol w:w="4480"/>
        <w:gridCol w:w="4020"/>
      </w:tblGrid>
      <w:tr w:rsidR="00A85F8E">
        <w:trPr>
          <w:trHeight w:val="600"/>
        </w:trPr>
        <w:tc>
          <w:tcPr>
            <w:tcW w:w="8500" w:type="dxa"/>
            <w:gridSpan w:val="2"/>
            <w:tcBorders>
              <w:top w:val="nil"/>
              <w:left w:val="nil"/>
              <w:bottom w:val="nil"/>
              <w:right w:val="nil"/>
            </w:tcBorders>
            <w:shd w:val="clear" w:color="auto" w:fill="auto"/>
            <w:vAlign w:val="center"/>
          </w:tcPr>
          <w:p w:rsidR="00A85F8E" w:rsidRDefault="00A755D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lastRenderedPageBreak/>
              <w:t>表八：2019年“三公”经费支出表</w:t>
            </w:r>
          </w:p>
        </w:tc>
      </w:tr>
      <w:tr w:rsidR="00A85F8E">
        <w:trPr>
          <w:trHeight w:val="600"/>
        </w:trPr>
        <w:tc>
          <w:tcPr>
            <w:tcW w:w="4480" w:type="dxa"/>
            <w:tcBorders>
              <w:top w:val="nil"/>
              <w:left w:val="nil"/>
              <w:bottom w:val="single" w:sz="4" w:space="0" w:color="auto"/>
              <w:right w:val="nil"/>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4020" w:type="dxa"/>
            <w:tcBorders>
              <w:top w:val="nil"/>
              <w:left w:val="nil"/>
              <w:bottom w:val="single" w:sz="4" w:space="0" w:color="auto"/>
              <w:right w:val="nil"/>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单位：万元</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预算数</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合计</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18.88 </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因公出国（境）费</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0.00　</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公务接待费</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18.88 </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公务用车购置及运行费</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0.00　</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其中：公务用车运行维护费</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r w:rsidR="00A85F8E">
        <w:trPr>
          <w:trHeight w:val="600"/>
        </w:trPr>
        <w:tc>
          <w:tcPr>
            <w:tcW w:w="4480" w:type="dxa"/>
            <w:tcBorders>
              <w:top w:val="nil"/>
              <w:left w:val="single" w:sz="4" w:space="0" w:color="auto"/>
              <w:bottom w:val="single" w:sz="4" w:space="0" w:color="auto"/>
              <w:right w:val="single" w:sz="4" w:space="0" w:color="auto"/>
            </w:tcBorders>
            <w:shd w:val="clear" w:color="auto" w:fill="auto"/>
            <w:vAlign w:val="center"/>
          </w:tcPr>
          <w:p w:rsidR="00A85F8E" w:rsidRDefault="00A755D7">
            <w:pPr>
              <w:widowControl/>
              <w:jc w:val="left"/>
              <w:rPr>
                <w:rFonts w:asciiTheme="minorEastAsia" w:hAnsiTheme="minorEastAsia" w:cs="宋体"/>
                <w:kern w:val="0"/>
                <w:sz w:val="22"/>
              </w:rPr>
            </w:pPr>
            <w:r>
              <w:rPr>
                <w:rFonts w:asciiTheme="minorEastAsia" w:hAnsiTheme="minorEastAsia" w:cs="宋体" w:hint="eastAsia"/>
                <w:kern w:val="0"/>
                <w:sz w:val="22"/>
              </w:rPr>
              <w:t xml:space="preserve">　　　    公务用车购置费</w:t>
            </w:r>
          </w:p>
        </w:tc>
        <w:tc>
          <w:tcPr>
            <w:tcW w:w="4020" w:type="dxa"/>
            <w:tcBorders>
              <w:top w:val="nil"/>
              <w:left w:val="nil"/>
              <w:bottom w:val="single" w:sz="4" w:space="0" w:color="auto"/>
              <w:right w:val="single" w:sz="4" w:space="0" w:color="auto"/>
            </w:tcBorders>
            <w:shd w:val="clear" w:color="auto" w:fill="auto"/>
            <w:vAlign w:val="center"/>
          </w:tcPr>
          <w:p w:rsidR="00A85F8E" w:rsidRDefault="00A755D7">
            <w:pPr>
              <w:widowControl/>
              <w:jc w:val="right"/>
              <w:rPr>
                <w:rFonts w:asciiTheme="minorEastAsia" w:hAnsiTheme="minorEastAsia" w:cs="宋体"/>
                <w:kern w:val="0"/>
                <w:sz w:val="22"/>
              </w:rPr>
            </w:pPr>
            <w:r>
              <w:rPr>
                <w:rFonts w:asciiTheme="minorEastAsia" w:hAnsiTheme="minorEastAsia" w:cs="宋体" w:hint="eastAsia"/>
                <w:kern w:val="0"/>
                <w:sz w:val="22"/>
              </w:rPr>
              <w:t xml:space="preserve">　</w:t>
            </w:r>
          </w:p>
        </w:tc>
      </w:tr>
    </w:tbl>
    <w:p w:rsidR="00A85F8E" w:rsidRDefault="00A755D7">
      <w:pPr>
        <w:ind w:firstLineChars="200" w:firstLine="640"/>
        <w:rPr>
          <w:rFonts w:ascii="黑体" w:eastAsia="黑体" w:hAnsi="黑体" w:cs="黑体"/>
          <w:sz w:val="32"/>
          <w:szCs w:val="32"/>
        </w:rPr>
      </w:pPr>
      <w:r>
        <w:rPr>
          <w:rFonts w:ascii="黑体" w:eastAsia="黑体" w:hAnsi="黑体" w:cs="黑体" w:hint="eastAsia"/>
          <w:sz w:val="32"/>
          <w:szCs w:val="32"/>
        </w:rPr>
        <w:t>三、编制说明</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（一）预算报表说明</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2019年荆州市外事侨务局预算收入总计234.96万元，预算支出总计234.96万元。2019年预算收入全部为公共预算财政拨款234.96万元，较2018年预算收入（全部为公共预算财政拨款）增加14.28万元，增加比列为6.47%，其增加预算收入主要原因为人员增加导致部门预算收支总额增加，2019年预算总支出234.96万元，其中按照支出功能分类：一般公共服务支出204.12万元，较2018年预算支出增加9.08万元；卫生健康支出16.98万元，较2018年预算支出增加3.74万元；住房保障支出13.86万元，较2018年预算支出增加1.46万元，按照支出经济分类：①工资福利支出158.81万元，较2018年预算支出增加18.32万元；商品</w:t>
      </w:r>
      <w:r>
        <w:rPr>
          <w:rFonts w:ascii="仿宋" w:eastAsia="仿宋" w:hAnsi="仿宋" w:hint="eastAsia"/>
          <w:sz w:val="32"/>
          <w:szCs w:val="32"/>
        </w:rPr>
        <w:lastRenderedPageBreak/>
        <w:t>和服务支出52.74万元，较2018年增加预算支出8.03万元，②项目支出23.41万元，较2018年预算项目支出减少12.07万元，其减少预算支出主要原因为将外事活动专项经费中的9万元纳入基本支出范围以及减少上年项目结转指标。</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2019年部门预算收入支出总计为234.96万元，其中基本支出211.55万元；项目支出23.41万元。基本支出中工资福利支出158.81万元；商品和服务支出52.74万元；项目支出23.41万元。2019年部门预算无政府性基金支出。三公经费总计18.88万元，其中公务接待费18.88万元；因公出国（境）费与公务车运行维护费（公务车保有量为0）0万元，三公经费预算支出与2018年预算支出减少5.12万元，其减少预算支出主要原因为财政部门将外事活动（含接待）专项工作经费调整到公用经费中。</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（二）重要事项说明</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 xml:space="preserve">1.机关运行经费                                  </w:t>
      </w:r>
    </w:p>
    <w:tbl>
      <w:tblPr>
        <w:tblW w:w="9371" w:type="dxa"/>
        <w:tblInd w:w="93" w:type="dxa"/>
        <w:tblLayout w:type="fixed"/>
        <w:tblLook w:val="04A0"/>
      </w:tblPr>
      <w:tblGrid>
        <w:gridCol w:w="1480"/>
        <w:gridCol w:w="2120"/>
        <w:gridCol w:w="1840"/>
        <w:gridCol w:w="1548"/>
        <w:gridCol w:w="2383"/>
      </w:tblGrid>
      <w:tr w:rsidR="00A85F8E">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科目编码</w:t>
            </w:r>
          </w:p>
        </w:tc>
        <w:tc>
          <w:tcPr>
            <w:tcW w:w="212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项目</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2019年预算</w:t>
            </w:r>
          </w:p>
        </w:tc>
        <w:tc>
          <w:tcPr>
            <w:tcW w:w="1548" w:type="dxa"/>
            <w:tcBorders>
              <w:top w:val="single" w:sz="4" w:space="0" w:color="auto"/>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2018年预算</w:t>
            </w:r>
          </w:p>
        </w:tc>
        <w:tc>
          <w:tcPr>
            <w:tcW w:w="2383" w:type="dxa"/>
            <w:tcBorders>
              <w:top w:val="single" w:sz="4" w:space="0" w:color="auto"/>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变动原因</w:t>
            </w:r>
          </w:p>
        </w:tc>
      </w:tr>
      <w:tr w:rsidR="00A85F8E">
        <w:trPr>
          <w:trHeight w:val="28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w:t>
            </w:r>
          </w:p>
        </w:tc>
        <w:tc>
          <w:tcPr>
            <w:tcW w:w="2120" w:type="dxa"/>
            <w:tcBorders>
              <w:top w:val="single" w:sz="4" w:space="0" w:color="auto"/>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商品和服务支出</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52.74</w:t>
            </w:r>
          </w:p>
        </w:tc>
        <w:tc>
          <w:tcPr>
            <w:tcW w:w="1548" w:type="dxa"/>
            <w:tcBorders>
              <w:top w:val="single" w:sz="4" w:space="0" w:color="auto"/>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44.71</w:t>
            </w:r>
          </w:p>
        </w:tc>
        <w:tc>
          <w:tcPr>
            <w:tcW w:w="2383" w:type="dxa"/>
            <w:tcBorders>
              <w:top w:val="single" w:sz="4" w:space="0" w:color="auto"/>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w:t>
            </w:r>
          </w:p>
        </w:tc>
      </w:tr>
      <w:tr w:rsidR="00A85F8E">
        <w:trPr>
          <w:trHeight w:val="28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30201</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办公费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2.52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1.30 </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8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30202</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印刷费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1.12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1.04 </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30203</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咨询费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0.50</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2019年未列支</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30204</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手续费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0.05</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2019年未列支</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30205</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水费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0.70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0.65</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30206</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电费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2.80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2.60</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30207</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邮电费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2.94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2.73 </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lastRenderedPageBreak/>
              <w:t>30209</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物业管理费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0.70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0.65</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30211</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差旅费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4.48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4.16</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30213</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维修(护)费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1.40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1.30</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30215</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会议费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2.45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3.25 </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30216</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培训费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0.84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0.78</w:t>
            </w:r>
          </w:p>
        </w:tc>
        <w:tc>
          <w:tcPr>
            <w:tcW w:w="2383" w:type="dxa"/>
            <w:tcBorders>
              <w:top w:val="nil"/>
              <w:left w:val="nil"/>
              <w:bottom w:val="single" w:sz="4" w:space="0" w:color="auto"/>
              <w:right w:val="single" w:sz="4" w:space="0" w:color="auto"/>
            </w:tcBorders>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30217</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公务接待费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3.88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4.00</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kern w:val="0"/>
                <w:sz w:val="22"/>
              </w:rPr>
              <w:t>减少国内公务接待支出</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30226</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劳务费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2.80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2.60 </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30227</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委托业务费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1.70</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1.50</w:t>
            </w:r>
          </w:p>
        </w:tc>
        <w:tc>
          <w:tcPr>
            <w:tcW w:w="2383" w:type="dxa"/>
            <w:tcBorders>
              <w:top w:val="nil"/>
              <w:left w:val="nil"/>
              <w:bottom w:val="single" w:sz="4" w:space="0" w:color="auto"/>
              <w:right w:val="single" w:sz="4" w:space="0" w:color="auto"/>
            </w:tcBorders>
            <w:vAlign w:val="center"/>
          </w:tcPr>
          <w:p w:rsidR="00A85F8E" w:rsidRDefault="00A85F8E">
            <w:pPr>
              <w:widowControl/>
              <w:ind w:right="440"/>
              <w:jc w:val="center"/>
              <w:rPr>
                <w:rFonts w:asciiTheme="minorEastAsia" w:hAnsiTheme="minorEastAsia" w:cs="宋体"/>
                <w:kern w:val="0"/>
                <w:sz w:val="22"/>
              </w:rPr>
            </w:pP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30228</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工会经费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1.85</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1.65 </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30229</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福利费</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2.31</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1.40 </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人员增加导致预算编制基数增加</w:t>
            </w:r>
          </w:p>
        </w:tc>
      </w:tr>
      <w:tr w:rsidR="00A85F8E">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30239</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其他交通费用</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14.97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12.11 </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增加公务车租赁费用</w:t>
            </w:r>
          </w:p>
        </w:tc>
      </w:tr>
      <w:tr w:rsidR="00A85F8E">
        <w:trPr>
          <w:trHeight w:val="404"/>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30299</w:t>
            </w:r>
          </w:p>
        </w:tc>
        <w:tc>
          <w:tcPr>
            <w:tcW w:w="2120" w:type="dxa"/>
            <w:tcBorders>
              <w:top w:val="nil"/>
              <w:left w:val="nil"/>
              <w:bottom w:val="single" w:sz="4" w:space="0" w:color="auto"/>
              <w:right w:val="single" w:sz="4" w:space="0" w:color="auto"/>
            </w:tcBorders>
            <w:shd w:val="clear" w:color="auto" w:fill="auto"/>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其他商品和服务支出</w:t>
            </w:r>
          </w:p>
        </w:tc>
        <w:tc>
          <w:tcPr>
            <w:tcW w:w="1840" w:type="dxa"/>
            <w:tcBorders>
              <w:top w:val="nil"/>
              <w:left w:val="nil"/>
              <w:bottom w:val="single" w:sz="4" w:space="0" w:color="auto"/>
              <w:right w:val="single" w:sz="4" w:space="0" w:color="auto"/>
            </w:tcBorders>
            <w:shd w:val="clear" w:color="auto" w:fill="auto"/>
            <w:noWrap/>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 xml:space="preserve">5.28 </w:t>
            </w:r>
          </w:p>
        </w:tc>
        <w:tc>
          <w:tcPr>
            <w:tcW w:w="1548" w:type="dxa"/>
            <w:tcBorders>
              <w:top w:val="nil"/>
              <w:left w:val="nil"/>
              <w:bottom w:val="single" w:sz="4" w:space="0" w:color="auto"/>
              <w:right w:val="single" w:sz="4" w:space="0" w:color="auto"/>
            </w:tcBorders>
            <w:vAlign w:val="center"/>
          </w:tcPr>
          <w:p w:rsidR="00A85F8E" w:rsidRDefault="00A755D7">
            <w:pPr>
              <w:widowControl/>
              <w:jc w:val="center"/>
              <w:rPr>
                <w:rFonts w:asciiTheme="minorEastAsia" w:hAnsiTheme="minorEastAsia" w:cs="宋体"/>
                <w:kern w:val="0"/>
                <w:sz w:val="22"/>
              </w:rPr>
            </w:pPr>
            <w:r>
              <w:rPr>
                <w:rFonts w:asciiTheme="minorEastAsia" w:hAnsiTheme="minorEastAsia" w:cs="宋体" w:hint="eastAsia"/>
                <w:kern w:val="0"/>
                <w:sz w:val="22"/>
              </w:rPr>
              <w:t>2.44</w:t>
            </w:r>
          </w:p>
        </w:tc>
        <w:tc>
          <w:tcPr>
            <w:tcW w:w="2383" w:type="dxa"/>
            <w:tcBorders>
              <w:top w:val="nil"/>
              <w:left w:val="nil"/>
              <w:bottom w:val="single" w:sz="4" w:space="0" w:color="auto"/>
              <w:right w:val="single" w:sz="4" w:space="0" w:color="auto"/>
            </w:tcBorders>
            <w:vAlign w:val="center"/>
          </w:tcPr>
          <w:p w:rsidR="00A85F8E" w:rsidRDefault="00A755D7">
            <w:pPr>
              <w:widowControl/>
              <w:ind w:right="440"/>
              <w:jc w:val="center"/>
              <w:rPr>
                <w:rFonts w:asciiTheme="minorEastAsia" w:hAnsiTheme="minorEastAsia" w:cs="宋体"/>
                <w:kern w:val="0"/>
                <w:sz w:val="22"/>
              </w:rPr>
            </w:pPr>
            <w:r>
              <w:rPr>
                <w:rFonts w:asciiTheme="minorEastAsia" w:hAnsiTheme="minorEastAsia" w:cs="宋体" w:hint="eastAsia"/>
                <w:kern w:val="0"/>
                <w:sz w:val="22"/>
              </w:rPr>
              <w:t>增加退休人员公用经费</w:t>
            </w:r>
          </w:p>
        </w:tc>
      </w:tr>
    </w:tbl>
    <w:p w:rsidR="00A85F8E" w:rsidRDefault="00A755D7">
      <w:pPr>
        <w:ind w:firstLineChars="200" w:firstLine="640"/>
        <w:rPr>
          <w:rFonts w:ascii="仿宋" w:eastAsia="仿宋" w:hAnsi="仿宋"/>
          <w:sz w:val="32"/>
          <w:szCs w:val="32"/>
        </w:rPr>
      </w:pPr>
      <w:r>
        <w:rPr>
          <w:rFonts w:ascii="仿宋" w:eastAsia="仿宋" w:hAnsi="仿宋" w:hint="eastAsia"/>
          <w:sz w:val="32"/>
          <w:szCs w:val="32"/>
        </w:rPr>
        <w:t>2.政府采购情况</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2019年政府采购预算安排资金2.41万元，其中局办公监控设备2套，金额1万元；接待室沙发5套，金额1.25万元；茶几2套，金额0.16万元。</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3.资产占有情况</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2018年资产余额为96.31万元，其中流动资产55.00万元；固定资产40.81万元；无形资产0.50万元， 2019年新增资产预算2.41万元。</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4.绩效目标情况</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w:t>
      </w:r>
      <w:r>
        <w:rPr>
          <w:rFonts w:ascii="仿宋" w:eastAsia="仿宋" w:hAnsi="仿宋" w:hint="eastAsia"/>
          <w:sz w:val="32"/>
          <w:szCs w:val="32"/>
        </w:rPr>
        <w:t>9</w:t>
      </w:r>
      <w:r>
        <w:rPr>
          <w:rFonts w:ascii="仿宋" w:eastAsia="仿宋" w:hAnsi="仿宋"/>
          <w:sz w:val="32"/>
          <w:szCs w:val="32"/>
        </w:rPr>
        <w:t>年我局外事接待</w:t>
      </w:r>
      <w:r>
        <w:rPr>
          <w:rFonts w:ascii="仿宋" w:eastAsia="仿宋" w:hAnsi="仿宋" w:hint="eastAsia"/>
          <w:sz w:val="32"/>
          <w:szCs w:val="32"/>
        </w:rPr>
        <w:t>活动</w:t>
      </w:r>
      <w:r>
        <w:rPr>
          <w:rFonts w:ascii="仿宋" w:eastAsia="仿宋" w:hAnsi="仿宋"/>
          <w:sz w:val="32"/>
          <w:szCs w:val="32"/>
        </w:rPr>
        <w:t>专项经费</w:t>
      </w:r>
      <w:r>
        <w:rPr>
          <w:rFonts w:ascii="仿宋" w:eastAsia="仿宋" w:hAnsi="仿宋" w:hint="eastAsia"/>
          <w:sz w:val="32"/>
          <w:szCs w:val="32"/>
        </w:rPr>
        <w:t>15</w:t>
      </w:r>
      <w:r>
        <w:rPr>
          <w:rFonts w:ascii="仿宋" w:eastAsia="仿宋" w:hAnsi="仿宋"/>
          <w:sz w:val="32"/>
          <w:szCs w:val="32"/>
        </w:rPr>
        <w:t>万元，随着民间</w:t>
      </w:r>
      <w:r>
        <w:rPr>
          <w:rFonts w:ascii="仿宋" w:eastAsia="仿宋" w:hAnsi="仿宋"/>
          <w:sz w:val="32"/>
          <w:szCs w:val="32"/>
        </w:rPr>
        <w:lastRenderedPageBreak/>
        <w:t>交往日益活跃，日韩民间代表团访问我市，同时将接待美、日、韩等20多个国家友城团体、华人华侨等，力争在医疗、旅游、农业等领域实质性洽谈；政府门户英文网站经费6万元，主要解决稿件翻译及后台的运行及维护；办公设备购置2.</w:t>
      </w:r>
      <w:r>
        <w:rPr>
          <w:rFonts w:ascii="仿宋" w:eastAsia="仿宋" w:hAnsi="仿宋" w:hint="eastAsia"/>
          <w:sz w:val="32"/>
          <w:szCs w:val="32"/>
        </w:rPr>
        <w:t>41</w:t>
      </w:r>
      <w:r>
        <w:rPr>
          <w:rFonts w:ascii="仿宋" w:eastAsia="仿宋" w:hAnsi="仿宋"/>
          <w:sz w:val="32"/>
          <w:szCs w:val="32"/>
        </w:rPr>
        <w:t>万元，主要解决我局办公室安全保卫工作及接待室办公家具的更新</w:t>
      </w:r>
      <w:r>
        <w:rPr>
          <w:rFonts w:ascii="仿宋" w:eastAsia="仿宋" w:hAnsi="仿宋" w:hint="eastAsia"/>
          <w:sz w:val="32"/>
          <w:szCs w:val="32"/>
        </w:rPr>
        <w:t>，</w:t>
      </w:r>
      <w:r>
        <w:rPr>
          <w:rFonts w:ascii="仿宋" w:eastAsia="仿宋" w:hAnsi="仿宋"/>
          <w:sz w:val="32"/>
          <w:szCs w:val="32"/>
        </w:rPr>
        <w:t>为外事活动接待更好服务</w:t>
      </w:r>
      <w:r>
        <w:rPr>
          <w:rFonts w:ascii="仿宋" w:eastAsia="仿宋" w:hAnsi="仿宋" w:hint="eastAsia"/>
          <w:sz w:val="32"/>
          <w:szCs w:val="32"/>
        </w:rPr>
        <w:t>。</w:t>
      </w:r>
    </w:p>
    <w:p w:rsidR="00A85F8E" w:rsidRDefault="00A755D7">
      <w:pPr>
        <w:ind w:firstLineChars="200" w:firstLine="640"/>
        <w:rPr>
          <w:rFonts w:ascii="黑体" w:eastAsia="黑体" w:hAnsi="黑体" w:cs="黑体"/>
          <w:sz w:val="32"/>
          <w:szCs w:val="32"/>
        </w:rPr>
      </w:pPr>
      <w:r>
        <w:rPr>
          <w:rFonts w:ascii="黑体" w:eastAsia="黑体" w:hAnsi="黑体" w:cs="黑体" w:hint="eastAsia"/>
          <w:sz w:val="32"/>
          <w:szCs w:val="32"/>
        </w:rPr>
        <w:t>四、名词解释</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（一）功能科目</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各单位可根据《2019年政府收支分类科目》，摘抄各自使用的功能科目解释。各单位与中央、省级主管部门使用的功能科目大致相同，所以也可摘抄中省预决算公开中关于使用的功能科目解释。</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（二）会计科目</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关于收支科目的解释参考如下，单位可摘抄各自使用的部分：</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1.财政拨款收入：市级财政及中省安排的补助收入，包括一般公共预算收入和政府性基金收入。</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2.上级补助收入：单位从主管部门和上级单位取得非财政补助收入（不含中省转移支付补助）。</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3.事业收入：事业单位开展专项业务活动及辅助活动取得的收入。</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4.事业单位经营收入：事业单位在专业业务活动及辅助</w:t>
      </w:r>
      <w:r>
        <w:rPr>
          <w:rFonts w:ascii="仿宋" w:eastAsia="仿宋" w:hAnsi="仿宋" w:hint="eastAsia"/>
          <w:sz w:val="32"/>
          <w:szCs w:val="32"/>
        </w:rPr>
        <w:lastRenderedPageBreak/>
        <w:t>活动之外开展非独立核算经营活动取得的收入。</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5.附属单位上缴收入：附属的独立核算单位按有关规定上缴的收入。</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6.其他收入：行政事业单位取得的除上述规定以外的各项收入。</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7.上年结转：指以前年度尚未完成、结转到本年仍按原规定用途继续使用的资金。</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8.动用事业基金：事业单位预计用当年各项收入不足以安排当年支出的情况下，使用以前年度积累的事业基金弥补本年度收支缺口的资金。</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9.基本支出：指为保障机构正常运转、完成日常工作任务而发生的人员支出和公用支出。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10.项目支出：指在基本支出之外为完成特定行政任务和事业发展目标所发生的支出。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11.上缴上级支出：附属单位上缴上级的支出。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12.事业单位经营支出：事业单位在专业业务活动及其辅助活动之外开展非独立核算经营活动发生的支出。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13.对附属单位补助支出：对附属单位补助发生的支出。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14.结转下年支出：以前年度预算安排、因客观条件发生变化无法按原计划实施，需延迟到以后年度按原规定用途继续使用的资金。</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15.机关运行经费：各部门的公用经费，包括办公及印</w:t>
      </w:r>
      <w:r>
        <w:rPr>
          <w:rFonts w:ascii="仿宋" w:eastAsia="仿宋" w:hAnsi="仿宋" w:hint="eastAsia"/>
          <w:sz w:val="32"/>
          <w:szCs w:val="32"/>
        </w:rPr>
        <w:lastRenderedPageBreak/>
        <w:t>刷费、邮电费、差旅费、会议费、福利费、日常维修费、专用材料及一般设备购置费、办公用房水电费、办公用房取暖费、办公用房物业管理费、公务用车运行维护费以及其他费用等。</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16.“三公”经费，包括因公出国（境）费、公务接待费和公务用车购置及运行费。</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（1）因公出国（境）费：指单位工作人员公务出国（境）的住宿费、旅费、伙食补助费、杂费、培训费等支出。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（2）公务接待费：指单位按规定开支的各类公务接待（含外宾接待）支出。</w:t>
      </w:r>
    </w:p>
    <w:p w:rsidR="00A85F8E" w:rsidRDefault="00A755D7">
      <w:pPr>
        <w:ind w:firstLineChars="200" w:firstLine="640"/>
        <w:rPr>
          <w:rFonts w:ascii="仿宋" w:eastAsia="仿宋" w:hAnsi="仿宋"/>
          <w:sz w:val="32"/>
          <w:szCs w:val="32"/>
        </w:rPr>
      </w:pPr>
      <w:r>
        <w:rPr>
          <w:rFonts w:ascii="仿宋" w:eastAsia="仿宋" w:hAnsi="仿宋" w:hint="eastAsia"/>
          <w:sz w:val="32"/>
          <w:szCs w:val="32"/>
        </w:rPr>
        <w:t>（3）公务用车购置及运行费：指单位公务用车购置及租用费、燃料费、维修费、过路过 桥费、保险费等支出。</w:t>
      </w:r>
    </w:p>
    <w:sectPr w:rsidR="00A85F8E" w:rsidSect="00A85F8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71" w:rsidRDefault="00971F71" w:rsidP="00A85F8E">
      <w:r>
        <w:separator/>
      </w:r>
    </w:p>
  </w:endnote>
  <w:endnote w:type="continuationSeparator" w:id="1">
    <w:p w:rsidR="00971F71" w:rsidRDefault="00971F71" w:rsidP="00A85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464"/>
    </w:sdtPr>
    <w:sdtContent>
      <w:p w:rsidR="00A85F8E" w:rsidRDefault="00821BC5">
        <w:pPr>
          <w:pStyle w:val="a3"/>
          <w:jc w:val="center"/>
        </w:pPr>
        <w:r w:rsidRPr="00821BC5">
          <w:fldChar w:fldCharType="begin"/>
        </w:r>
        <w:r w:rsidR="00A755D7">
          <w:instrText xml:space="preserve"> PAGE   \* MERGEFORMAT </w:instrText>
        </w:r>
        <w:r w:rsidRPr="00821BC5">
          <w:fldChar w:fldCharType="separate"/>
        </w:r>
        <w:r w:rsidR="000A4340" w:rsidRPr="000A4340">
          <w:rPr>
            <w:noProof/>
            <w:lang w:val="zh-CN"/>
          </w:rPr>
          <w:t>1</w:t>
        </w:r>
        <w:r>
          <w:rPr>
            <w:lang w:val="zh-CN"/>
          </w:rPr>
          <w:fldChar w:fldCharType="end"/>
        </w:r>
      </w:p>
    </w:sdtContent>
  </w:sdt>
  <w:p w:rsidR="00A85F8E" w:rsidRDefault="00A85F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71" w:rsidRDefault="00971F71" w:rsidP="00A85F8E">
      <w:r>
        <w:separator/>
      </w:r>
    </w:p>
  </w:footnote>
  <w:footnote w:type="continuationSeparator" w:id="1">
    <w:p w:rsidR="00971F71" w:rsidRDefault="00971F71" w:rsidP="00A85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133"/>
    <w:rsid w:val="00031651"/>
    <w:rsid w:val="00045A1A"/>
    <w:rsid w:val="000A4340"/>
    <w:rsid w:val="00130839"/>
    <w:rsid w:val="001945EE"/>
    <w:rsid w:val="001B4299"/>
    <w:rsid w:val="002002A0"/>
    <w:rsid w:val="002B6934"/>
    <w:rsid w:val="002F107C"/>
    <w:rsid w:val="0031784E"/>
    <w:rsid w:val="003509D9"/>
    <w:rsid w:val="00395C65"/>
    <w:rsid w:val="003C24B3"/>
    <w:rsid w:val="003C4133"/>
    <w:rsid w:val="00465E1A"/>
    <w:rsid w:val="00485EA1"/>
    <w:rsid w:val="004A0CF6"/>
    <w:rsid w:val="004B1492"/>
    <w:rsid w:val="004C015D"/>
    <w:rsid w:val="005368FE"/>
    <w:rsid w:val="006A2416"/>
    <w:rsid w:val="006F08F0"/>
    <w:rsid w:val="007230BD"/>
    <w:rsid w:val="00780D06"/>
    <w:rsid w:val="007D1B68"/>
    <w:rsid w:val="007F6205"/>
    <w:rsid w:val="00821BC5"/>
    <w:rsid w:val="00846373"/>
    <w:rsid w:val="008B3763"/>
    <w:rsid w:val="008C7F10"/>
    <w:rsid w:val="008E0537"/>
    <w:rsid w:val="008E7863"/>
    <w:rsid w:val="00964069"/>
    <w:rsid w:val="00971F71"/>
    <w:rsid w:val="0098034E"/>
    <w:rsid w:val="009C75D9"/>
    <w:rsid w:val="009F4B24"/>
    <w:rsid w:val="00A12115"/>
    <w:rsid w:val="00A16FD1"/>
    <w:rsid w:val="00A755D7"/>
    <w:rsid w:val="00A85F8E"/>
    <w:rsid w:val="00A9533E"/>
    <w:rsid w:val="00AA1CF7"/>
    <w:rsid w:val="00AA7DD5"/>
    <w:rsid w:val="00AB24CB"/>
    <w:rsid w:val="00AB70D6"/>
    <w:rsid w:val="00AC5DC7"/>
    <w:rsid w:val="00AE5895"/>
    <w:rsid w:val="00AE6320"/>
    <w:rsid w:val="00B1708C"/>
    <w:rsid w:val="00B66C22"/>
    <w:rsid w:val="00B94930"/>
    <w:rsid w:val="00B94B9F"/>
    <w:rsid w:val="00C22B53"/>
    <w:rsid w:val="00C34935"/>
    <w:rsid w:val="00C71D5F"/>
    <w:rsid w:val="00D25375"/>
    <w:rsid w:val="00D77228"/>
    <w:rsid w:val="00DA254F"/>
    <w:rsid w:val="00DC03C4"/>
    <w:rsid w:val="00E84190"/>
    <w:rsid w:val="00E9088C"/>
    <w:rsid w:val="00F22411"/>
    <w:rsid w:val="00F44591"/>
    <w:rsid w:val="00FB2D63"/>
    <w:rsid w:val="00FD7DA6"/>
    <w:rsid w:val="4056069B"/>
    <w:rsid w:val="43CE2E12"/>
    <w:rsid w:val="5CA12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5F8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85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85F8E"/>
    <w:rPr>
      <w:sz w:val="18"/>
      <w:szCs w:val="18"/>
    </w:rPr>
  </w:style>
  <w:style w:type="character" w:customStyle="1" w:styleId="Char">
    <w:name w:val="页脚 Char"/>
    <w:basedOn w:val="a0"/>
    <w:link w:val="a3"/>
    <w:uiPriority w:val="99"/>
    <w:qFormat/>
    <w:rsid w:val="00A85F8E"/>
    <w:rPr>
      <w:sz w:val="18"/>
      <w:szCs w:val="18"/>
    </w:rPr>
  </w:style>
  <w:style w:type="paragraph" w:styleId="a5">
    <w:name w:val="Balloon Text"/>
    <w:basedOn w:val="a"/>
    <w:link w:val="Char1"/>
    <w:uiPriority w:val="99"/>
    <w:semiHidden/>
    <w:unhideWhenUsed/>
    <w:rsid w:val="00B66C22"/>
    <w:rPr>
      <w:sz w:val="18"/>
      <w:szCs w:val="18"/>
    </w:rPr>
  </w:style>
  <w:style w:type="character" w:customStyle="1" w:styleId="Char1">
    <w:name w:val="批注框文本 Char"/>
    <w:basedOn w:val="a0"/>
    <w:link w:val="a5"/>
    <w:uiPriority w:val="99"/>
    <w:semiHidden/>
    <w:rsid w:val="00B66C2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ABC95-9DB7-41F5-8697-E4D5FFB7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993</Words>
  <Characters>5665</Characters>
  <Application>Microsoft Office Word</Application>
  <DocSecurity>0</DocSecurity>
  <Lines>47</Lines>
  <Paragraphs>13</Paragraphs>
  <ScaleCrop>false</ScaleCrop>
  <Company>MS</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刘厚发</dc:creator>
  <cp:lastModifiedBy>微软用户</cp:lastModifiedBy>
  <cp:revision>9</cp:revision>
  <cp:lastPrinted>2019-02-14T10:17:00Z</cp:lastPrinted>
  <dcterms:created xsi:type="dcterms:W3CDTF">2018-01-22T01:28:00Z</dcterms:created>
  <dcterms:modified xsi:type="dcterms:W3CDTF">2019-02-15T05:15:00Z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